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6A26" w14:textId="71A0EB25" w:rsidR="000A4055" w:rsidRDefault="000A4055" w:rsidP="000A4055">
      <w:pPr>
        <w:spacing w:after="0" w:line="240" w:lineRule="auto"/>
        <w:jc w:val="both"/>
        <w:rPr>
          <w:rFonts w:cstheme="minorHAnsi"/>
          <w:b/>
          <w:bCs/>
        </w:rPr>
      </w:pPr>
      <w:r w:rsidRPr="000A4055">
        <w:rPr>
          <w:rFonts w:cstheme="minorHAnsi"/>
          <w:b/>
          <w:bCs/>
        </w:rPr>
        <w:t xml:space="preserve">Oficio de la Dirección General de Trabajo </w:t>
      </w:r>
    </w:p>
    <w:p w14:paraId="4569DE81" w14:textId="09FB2C6F" w:rsidR="000A4055" w:rsidRPr="000A4055" w:rsidRDefault="000A4055" w:rsidP="000A4055">
      <w:pPr>
        <w:spacing w:after="0" w:line="240" w:lineRule="auto"/>
        <w:jc w:val="both"/>
        <w:rPr>
          <w:rFonts w:cstheme="minorHAnsi"/>
          <w:b/>
          <w:bCs/>
        </w:rPr>
      </w:pPr>
      <w:r w:rsidRPr="000A4055">
        <w:rPr>
          <w:rFonts w:cstheme="minorHAnsi"/>
          <w:b/>
          <w:bCs/>
        </w:rPr>
        <w:t>DGT-SGON-863CRA</w:t>
      </w:r>
    </w:p>
    <w:p w14:paraId="2A1CFC7D" w14:textId="58160F8C" w:rsidR="000A4055" w:rsidRPr="00084C04" w:rsidRDefault="000A4055" w:rsidP="000A4055">
      <w:pPr>
        <w:spacing w:after="0" w:line="240" w:lineRule="auto"/>
        <w:jc w:val="both"/>
        <w:rPr>
          <w:rFonts w:cstheme="minorHAnsi"/>
        </w:rPr>
      </w:pPr>
      <w:r w:rsidRPr="000A4055">
        <w:rPr>
          <w:rFonts w:cstheme="minorHAnsi"/>
          <w:b/>
          <w:bCs/>
        </w:rPr>
        <w:t>Fecha</w:t>
      </w:r>
      <w:r>
        <w:rPr>
          <w:rFonts w:cstheme="minorHAnsi"/>
        </w:rPr>
        <w:t xml:space="preserve">: </w:t>
      </w:r>
      <w:r w:rsidRPr="00084C04">
        <w:rPr>
          <w:rFonts w:cstheme="minorHAnsi"/>
        </w:rPr>
        <w:t>07-04-2020</w:t>
      </w:r>
    </w:p>
    <w:p w14:paraId="350F023B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</w:rPr>
      </w:pPr>
      <w:r w:rsidRPr="000A4055">
        <w:rPr>
          <w:rFonts w:cstheme="minorHAnsi"/>
          <w:b/>
          <w:bCs/>
        </w:rPr>
        <w:t>Entidad consultante</w:t>
      </w:r>
      <w:r w:rsidRPr="00084C04">
        <w:rPr>
          <w:rFonts w:cstheme="minorHAnsi"/>
        </w:rPr>
        <w:t>: CEOE</w:t>
      </w:r>
    </w:p>
    <w:p w14:paraId="1BD55B77" w14:textId="2D475AD9" w:rsidR="000A4055" w:rsidRPr="00084C04" w:rsidRDefault="000A4055" w:rsidP="000A4055">
      <w:pPr>
        <w:spacing w:after="0" w:line="240" w:lineRule="auto"/>
        <w:jc w:val="both"/>
        <w:rPr>
          <w:rFonts w:cstheme="minorHAnsi"/>
        </w:rPr>
      </w:pPr>
      <w:r w:rsidRPr="000A4055">
        <w:rPr>
          <w:rFonts w:cstheme="minorHAnsi"/>
          <w:b/>
          <w:bCs/>
        </w:rPr>
        <w:t>Objeto</w:t>
      </w:r>
      <w:r w:rsidRPr="00084C04">
        <w:rPr>
          <w:rFonts w:cstheme="minorHAnsi"/>
        </w:rPr>
        <w:t xml:space="preserve">: Interpretación </w:t>
      </w:r>
      <w:r w:rsidR="00974979">
        <w:rPr>
          <w:rFonts w:cstheme="minorHAnsi"/>
        </w:rPr>
        <w:t xml:space="preserve">de la </w:t>
      </w:r>
      <w:r w:rsidRPr="00084C04">
        <w:rPr>
          <w:rFonts w:cstheme="minorHAnsi"/>
        </w:rPr>
        <w:t>Disposición Adicional Sexta del Real Decreto-ley 8/2020</w:t>
      </w:r>
    </w:p>
    <w:p w14:paraId="33AAF6A5" w14:textId="79A10D5F" w:rsidR="00E35063" w:rsidRDefault="000A4055" w:rsidP="00E14BEC">
      <w:r>
        <w:t>-------</w:t>
      </w:r>
    </w:p>
    <w:p w14:paraId="2F6C24B2" w14:textId="22AB5B09" w:rsidR="000A4055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4055">
        <w:rPr>
          <w:rFonts w:cstheme="minorHAnsi"/>
          <w:b/>
          <w:bCs/>
          <w:sz w:val="24"/>
          <w:szCs w:val="24"/>
        </w:rPr>
        <w:t>Pregunta formulada</w:t>
      </w:r>
      <w:r>
        <w:rPr>
          <w:rFonts w:cstheme="minorHAnsi"/>
          <w:sz w:val="24"/>
          <w:szCs w:val="24"/>
        </w:rPr>
        <w:t xml:space="preserve">: </w:t>
      </w:r>
    </w:p>
    <w:p w14:paraId="62C88453" w14:textId="77777777" w:rsidR="000A4055" w:rsidRPr="00084C04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¿Cómo debe interpretarse la disposición adicional sexta del Real Decreto-ley 8/2020?</w:t>
      </w:r>
    </w:p>
    <w:p w14:paraId="41893ED1" w14:textId="77777777" w:rsidR="000A4055" w:rsidRPr="00084C04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Entendiendo de la respuesta de la DGT, que la obligación de la empresa de “mantener el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empleo durante el plazo de seis meses desde la fecha de reanudación de la actividad”</w:t>
      </w:r>
    </w:p>
    <w:p w14:paraId="493BA986" w14:textId="77777777" w:rsidR="000A4055" w:rsidRPr="00084C04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se limita a las beneficiarias de lo dispuesto en el artículo 24 del Real Decreto Ley 8/2020</w:t>
      </w:r>
    </w:p>
    <w:p w14:paraId="10E34C1B" w14:textId="77777777" w:rsidR="000A4055" w:rsidRPr="00084C04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por haberse acogido a los ERTE por causa de fuerza mayor del artículo 22 del citado</w:t>
      </w:r>
      <w:r>
        <w:rPr>
          <w:rFonts w:cstheme="minorHAnsi"/>
          <w:sz w:val="24"/>
          <w:szCs w:val="24"/>
        </w:rPr>
        <w:t xml:space="preserve"> Real </w:t>
      </w:r>
      <w:r w:rsidRPr="00084C04">
        <w:rPr>
          <w:rFonts w:cstheme="minorHAnsi"/>
          <w:sz w:val="24"/>
          <w:szCs w:val="24"/>
        </w:rPr>
        <w:t>Decreto Ley, concretamente:</w:t>
      </w:r>
    </w:p>
    <w:p w14:paraId="7AEB53CA" w14:textId="77777777" w:rsidR="000A4055" w:rsidRPr="00B6743C" w:rsidRDefault="000A4055" w:rsidP="000A405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743C">
        <w:rPr>
          <w:rFonts w:cstheme="minorHAnsi"/>
          <w:sz w:val="24"/>
          <w:szCs w:val="24"/>
        </w:rPr>
        <w:t>¿Qué se entiende por mantenimiento del empleo?</w:t>
      </w:r>
    </w:p>
    <w:p w14:paraId="30FA5E20" w14:textId="77777777" w:rsidR="000A4055" w:rsidRPr="00B6743C" w:rsidRDefault="000A4055" w:rsidP="000A405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743C">
        <w:rPr>
          <w:rFonts w:cstheme="minorHAnsi"/>
          <w:sz w:val="24"/>
          <w:szCs w:val="24"/>
        </w:rPr>
        <w:t>¿Debe entenderse dicha obligación circunscrita a las personas incluidas en el ERTE con determinadas modalidades contractuales y en circunstancias concretas?</w:t>
      </w:r>
    </w:p>
    <w:p w14:paraId="0FF9C147" w14:textId="77777777" w:rsidR="000A4055" w:rsidRPr="00084C04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84C04">
        <w:rPr>
          <w:rFonts w:cstheme="minorHAnsi"/>
          <w:sz w:val="24"/>
          <w:szCs w:val="24"/>
        </w:rPr>
        <w:t>De ser afirmativo lo anterior, ¿a qué personas y contratos se refiere la reserva de</w:t>
      </w:r>
    </w:p>
    <w:p w14:paraId="182BE21C" w14:textId="77777777" w:rsidR="000A4055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84C04">
        <w:rPr>
          <w:rFonts w:cstheme="minorHAnsi"/>
          <w:sz w:val="24"/>
          <w:szCs w:val="24"/>
        </w:rPr>
        <w:t>empleo?</w:t>
      </w:r>
    </w:p>
    <w:p w14:paraId="578CE72D" w14:textId="0F1AF4BE" w:rsidR="000A4055" w:rsidRPr="000A4055" w:rsidRDefault="000A4055" w:rsidP="000A405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4055">
        <w:rPr>
          <w:rFonts w:cstheme="minorHAnsi"/>
          <w:sz w:val="24"/>
          <w:szCs w:val="24"/>
        </w:rPr>
        <w:t>¿Cuáles son, en su caso, las consecuencias del incumplimiento de dicho requisito de mantenimiento del empleo?</w:t>
      </w:r>
    </w:p>
    <w:p w14:paraId="538D916C" w14:textId="77777777" w:rsidR="000A4055" w:rsidRPr="00B6743C" w:rsidRDefault="000A4055" w:rsidP="000A405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10C189" w14:textId="77777777" w:rsidR="000A4055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 xml:space="preserve">En cuanto al alcance de la </w:t>
      </w:r>
      <w:r>
        <w:rPr>
          <w:rFonts w:cstheme="minorHAnsi"/>
          <w:sz w:val="24"/>
          <w:szCs w:val="24"/>
        </w:rPr>
        <w:t>D</w:t>
      </w:r>
      <w:r w:rsidRPr="00084C04">
        <w:rPr>
          <w:rFonts w:cstheme="minorHAnsi"/>
          <w:sz w:val="24"/>
          <w:szCs w:val="24"/>
        </w:rPr>
        <w:t xml:space="preserve">isposición </w:t>
      </w:r>
      <w:r>
        <w:rPr>
          <w:rFonts w:cstheme="minorHAnsi"/>
          <w:sz w:val="24"/>
          <w:szCs w:val="24"/>
        </w:rPr>
        <w:t>A</w:t>
      </w:r>
      <w:r w:rsidRPr="00084C04">
        <w:rPr>
          <w:rFonts w:cstheme="minorHAnsi"/>
          <w:sz w:val="24"/>
          <w:szCs w:val="24"/>
        </w:rPr>
        <w:t xml:space="preserve">dicional </w:t>
      </w:r>
      <w:r>
        <w:rPr>
          <w:rFonts w:cstheme="minorHAnsi"/>
          <w:sz w:val="24"/>
          <w:szCs w:val="24"/>
        </w:rPr>
        <w:t>S</w:t>
      </w:r>
      <w:r w:rsidRPr="00084C04">
        <w:rPr>
          <w:rFonts w:cstheme="minorHAnsi"/>
          <w:sz w:val="24"/>
          <w:szCs w:val="24"/>
        </w:rPr>
        <w:t>exta en sus diferentes aspectos</w:t>
      </w:r>
      <w:r>
        <w:rPr>
          <w:rFonts w:cstheme="minorHAnsi"/>
          <w:sz w:val="24"/>
          <w:szCs w:val="24"/>
        </w:rPr>
        <w:t xml:space="preserve"> :</w:t>
      </w:r>
    </w:p>
    <w:p w14:paraId="12DD94CA" w14:textId="5CE438DA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4.1 En primer lugar y respecto de la medida extraordinaria concreta que se vincula al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mantenimiento de empleo es la exoneración prevista en el artículo 24 del Real Decreto</w:t>
      </w:r>
      <w:r>
        <w:rPr>
          <w:rFonts w:cstheme="minorHAnsi"/>
          <w:sz w:val="24"/>
          <w:szCs w:val="24"/>
        </w:rPr>
        <w:t>-L</w:t>
      </w:r>
      <w:r w:rsidRPr="00084C04">
        <w:rPr>
          <w:rFonts w:cstheme="minorHAnsi"/>
          <w:sz w:val="24"/>
          <w:szCs w:val="24"/>
        </w:rPr>
        <w:t>ey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8/2020, sólo así puede entenderse el objetivo de “evitar la salida del mercado de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empresas solventes y afectadas negativamente por esta situación transitoria y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excepcional, contribuyendo a aminorar el impacto negativo sobre el empleo y la actividad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económica.”</w:t>
      </w:r>
    </w:p>
    <w:p w14:paraId="59A1D223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Aunque la DA 6ª no prevé de manera específica un mecanismo concreto de reintegro, es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lógico pensar que cuando se habla de que “las medidas están sujetas”, establece un</w:t>
      </w:r>
    </w:p>
    <w:p w14:paraId="300770DE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vínculo necesario entre el disfrute o aplicación de aquéllas y el compromiso que se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describe. Interpretación que se ve confirmada por el Real Decreto-ley 11/2020, cuando</w:t>
      </w:r>
    </w:p>
    <w:p w14:paraId="2881BA8F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se dice “incumplimientos”, lo que nos remite a obligaciones y no a una mera declaración</w:t>
      </w:r>
    </w:p>
    <w:p w14:paraId="13DEC57C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de voluntad, por lo que no puede entenderse como una mera disposición programática</w:t>
      </w:r>
    </w:p>
    <w:p w14:paraId="644AEF1A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sin efectos directos.</w:t>
      </w:r>
    </w:p>
    <w:p w14:paraId="29C3961B" w14:textId="77777777" w:rsidR="000A4055" w:rsidRPr="00B6743C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743C">
        <w:rPr>
          <w:rFonts w:cstheme="minorHAnsi"/>
          <w:sz w:val="24"/>
          <w:szCs w:val="24"/>
        </w:rPr>
        <w:t>4.2 En segundo lugar y puesto que se refiere a la citada medida excepcional, el ámbito subjetivo del compromiso de mantenimiento se extiende a las empresas que han suspendido o reducido la jornada por causas de fuerza mayor basada en el COVID-19, esto es, las empresas que han sido autorizadas por la autoridad laboral en base a la  causa descrita en el artículo 22 del Real Decreto-ley y que se aplican la exoneración o reducción en las cuotas previa comunicación a la TGSS.</w:t>
      </w:r>
    </w:p>
    <w:p w14:paraId="4F626598" w14:textId="77777777" w:rsidR="000A4055" w:rsidRPr="00B6743C" w:rsidRDefault="000A4055" w:rsidP="000A40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743C">
        <w:rPr>
          <w:rFonts w:cstheme="minorHAnsi"/>
          <w:sz w:val="24"/>
          <w:szCs w:val="24"/>
        </w:rPr>
        <w:t xml:space="preserve">4.3 En relación con lo que ha de entenderse por mantener el empleo, se dice en la exposición de motivos del Real Decreto-ley 11/2020, que dicho compromiso, tal y como se recoge en una disposición final (sic, ya que es la disposición adicional decimocuarta), </w:t>
      </w:r>
      <w:r w:rsidRPr="00B6743C">
        <w:rPr>
          <w:rFonts w:cstheme="minorHAnsi"/>
          <w:sz w:val="24"/>
          <w:szCs w:val="24"/>
        </w:rPr>
        <w:lastRenderedPageBreak/>
        <w:t>deberá cumplirse y verificarse teniendo en cuenta las características y circunstancias de la empresa o del sector correspondiente, atendiendo en especial a la estacionalidad o variabilidad del empleo, así como su correspondencia con eventos concretos, acontecimientos u otras especificidades sectoriales como las de, por ejemplo, las artes escénicas, musicales y del cinematográfico y audiovisual. Igualmente deberá tenerse en cuenta la normativa laboral aplicable.</w:t>
      </w:r>
    </w:p>
    <w:p w14:paraId="0CE0659E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Así</w:t>
      </w:r>
      <w:r>
        <w:rPr>
          <w:rFonts w:cstheme="minorHAnsi"/>
          <w:sz w:val="24"/>
          <w:szCs w:val="24"/>
        </w:rPr>
        <w:t xml:space="preserve">, - de </w:t>
      </w:r>
      <w:r w:rsidRPr="00084C04">
        <w:rPr>
          <w:rFonts w:cstheme="minorHAnsi"/>
          <w:sz w:val="24"/>
          <w:szCs w:val="24"/>
        </w:rPr>
        <w:t>acuerdo con dicha exposición de motivos- el compromiso no se entenderá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incumplido cuando el contrato de trabajo se extinga por despido disciplinario declarado</w:t>
      </w:r>
    </w:p>
    <w:p w14:paraId="17A7195F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como procedente, dimisión, jubilación o incapacidad permanente total, absoluta o gran</w:t>
      </w:r>
    </w:p>
    <w:p w14:paraId="0085031E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invalidez de la persona trabajadora. En el caso de contratos temporales, el compromiso</w:t>
      </w:r>
    </w:p>
    <w:p w14:paraId="09D552D2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tampoco se entenderá incumplido cuando el contrato se extinga por expiración del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tiempo convenido o la realización de la obra o servicio que constituye su objeto o cuando</w:t>
      </w:r>
    </w:p>
    <w:p w14:paraId="57D6E940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no pueda realizarse de forma inmediata la actividad objeto de contratación.</w:t>
      </w:r>
    </w:p>
    <w:p w14:paraId="6ABF32F9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En suma, lo previsto en dicha disposición adicional puede entenderse aplicable al resto</w:t>
      </w:r>
    </w:p>
    <w:p w14:paraId="44136036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de sectores.</w:t>
      </w:r>
    </w:p>
    <w:p w14:paraId="365EC4B8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4.4 Respecto a los trabajadores concretos en relación con los cuales se extiende el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compromiso son aquellos incluidos en el ámbito personal de la medida coyuntural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adoptada por la empresa, esto es, los trabajadores afectados por la medida de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suspensión o reducción de jornada.</w:t>
      </w:r>
    </w:p>
    <w:p w14:paraId="6CAD9D29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4.5 Por último, la reanudación de actividad y el momento en el que el compromiso de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mantenimiento despliega sus efectos se refiere a cuando termine el estado de alarma,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esto es, el plazo de los 6 meses se computa desde la finalización de las medidas de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reducción de jornada o suspensión de contratos basadas en el COVID-19 cuya duración</w:t>
      </w:r>
    </w:p>
    <w:p w14:paraId="5B731153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máxima, de acuerdo con el artículo 28 del Real Decreto-ley 8/2020 y la disposición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adicional primera del Real Decreto-ley 9/2020, será la del estado de alarma decretado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por el Real Decreto 463/2020, de 14 de marzo y sus posibles prórrogas.</w:t>
      </w:r>
    </w:p>
    <w:p w14:paraId="686C787D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Lo anterior se ve confirmado por el ámbito de aplicación temporal del artículo 2 del Real</w:t>
      </w:r>
    </w:p>
    <w:p w14:paraId="24573D5C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Decreto 9/2020, de 27 de marzo, que limita las extinciones o despidos por causa del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COVID-19 durante el periodo al que se extiende la vigencia de las medidas previstas en</w:t>
      </w:r>
    </w:p>
    <w:p w14:paraId="41D9C61E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los artículos 22 y 23 del Real Decreto 8/2020.</w:t>
      </w:r>
    </w:p>
    <w:p w14:paraId="5A92429D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5. En conclusión, las empresas deben comprometerse a mantener el empleo durante los</w:t>
      </w:r>
    </w:p>
    <w:p w14:paraId="38127972" w14:textId="77777777" w:rsidR="000A4055" w:rsidRPr="00084C04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C04">
        <w:rPr>
          <w:rFonts w:cstheme="minorHAnsi"/>
          <w:sz w:val="24"/>
          <w:szCs w:val="24"/>
        </w:rPr>
        <w:t>6 meses posteriores a la finalización de la suspensión o reducción, esto es, al 100 por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cien de los trabajadores afectados por la suspensión de contrato o la reducción de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jornada por fuerza mayor basada en el COVID-19, sin que se tenga por incumplido el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compromiso cuando el contrato de trabajo se extinga por despido disciplinario declarado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como procedente, dimisión, jubilación o incapacidad permanente total, absoluta o gran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invalidez de la persona trabajadora, y en el caso de contratos temporales cuando el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contrato se extinga por expiración del tiempo convenido o la realización de la obra o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servicio que constituye su objeto procediendo, en caso contrario, el reintegro de las</w:t>
      </w:r>
      <w:r>
        <w:rPr>
          <w:rFonts w:cstheme="minorHAnsi"/>
          <w:sz w:val="24"/>
          <w:szCs w:val="24"/>
        </w:rPr>
        <w:t xml:space="preserve"> </w:t>
      </w:r>
      <w:r w:rsidRPr="00084C04">
        <w:rPr>
          <w:rFonts w:cstheme="minorHAnsi"/>
          <w:sz w:val="24"/>
          <w:szCs w:val="24"/>
        </w:rPr>
        <w:t>aportaciones empresariales y de recaudación conjunta dejadas de ingresar.</w:t>
      </w:r>
    </w:p>
    <w:p w14:paraId="37C9E048" w14:textId="77777777" w:rsidR="000A4055" w:rsidRDefault="000A4055" w:rsidP="000A40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A9B406" w14:textId="77777777" w:rsidR="000A4055" w:rsidRDefault="000A4055" w:rsidP="00E14BEC"/>
    <w:p w14:paraId="77326EC5" w14:textId="77777777" w:rsidR="000B2990" w:rsidRDefault="000B2990" w:rsidP="00E14BEC"/>
    <w:sectPr w:rsidR="000B2990" w:rsidSect="00FB2217">
      <w:headerReference w:type="default" r:id="rId8"/>
      <w:footerReference w:type="default" r:id="rId9"/>
      <w:pgSz w:w="11906" w:h="16838"/>
      <w:pgMar w:top="1417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51B5" w14:textId="77777777" w:rsidR="00D979A5" w:rsidRDefault="00D979A5" w:rsidP="003B6C69">
      <w:pPr>
        <w:spacing w:after="0" w:line="240" w:lineRule="auto"/>
      </w:pPr>
      <w:r>
        <w:separator/>
      </w:r>
    </w:p>
  </w:endnote>
  <w:endnote w:type="continuationSeparator" w:id="0">
    <w:p w14:paraId="13912A84" w14:textId="77777777" w:rsidR="00D979A5" w:rsidRDefault="00D979A5" w:rsidP="003B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44CD" w14:textId="3DDD10B1" w:rsidR="00FB2217" w:rsidRDefault="00FB2217" w:rsidP="00FB2217">
    <w:pPr>
      <w:pStyle w:val="Piedepgina"/>
      <w:jc w:val="center"/>
    </w:pPr>
    <w:r>
      <w:t>Confederación Española de Cooperativas de Trabajo Asociado</w:t>
    </w:r>
  </w:p>
  <w:p w14:paraId="75E24ACE" w14:textId="64D6190F" w:rsidR="00FB2217" w:rsidRDefault="00FB2217" w:rsidP="00FB2217">
    <w:pPr>
      <w:pStyle w:val="Piedepgina"/>
      <w:jc w:val="center"/>
    </w:pPr>
    <w:r>
      <w:t>COCETA</w:t>
    </w:r>
  </w:p>
  <w:p w14:paraId="055CB4FB" w14:textId="77777777" w:rsidR="00FB2217" w:rsidRDefault="00FB2217" w:rsidP="00FB2217">
    <w:pPr>
      <w:pStyle w:val="Piedepgina"/>
      <w:jc w:val="center"/>
    </w:pPr>
    <w:r>
      <w:t>Calle Virgen de los Peligros, 3 planta 4. Madrid 28013</w:t>
    </w:r>
  </w:p>
  <w:p w14:paraId="5097A346" w14:textId="7B7475ED" w:rsidR="00FB2217" w:rsidRDefault="00FB2217" w:rsidP="00FB2217">
    <w:pPr>
      <w:pStyle w:val="Piedepgina"/>
      <w:jc w:val="center"/>
    </w:pPr>
    <w:r>
      <w:rPr>
        <w:noProof/>
      </w:rPr>
      <w:drawing>
        <wp:inline distT="0" distB="0" distL="0" distR="0" wp14:anchorId="34343952" wp14:editId="6D8DFECA">
          <wp:extent cx="266700" cy="266700"/>
          <wp:effectExtent l="0" t="0" r="0" b="0"/>
          <wp:docPr id="49" name="Imagen 49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FA1C5E">
        <w:rPr>
          <w:rStyle w:val="Hipervnculo"/>
          <w:b/>
        </w:rPr>
        <w:t>confederacion@coceta.coop</w:t>
      </w:r>
    </w:hyperlink>
    <w:r>
      <w:t xml:space="preserve">     </w:t>
    </w:r>
    <w:hyperlink r:id="rId3" w:history="1">
      <w:r w:rsidRPr="00FA1C5E">
        <w:rPr>
          <w:rStyle w:val="Hipervnculo"/>
          <w:b/>
        </w:rPr>
        <w:t>www.coceta.coop</w:t>
      </w:r>
    </w:hyperlink>
    <w:r>
      <w:t xml:space="preserve">    </w:t>
    </w:r>
    <w:r>
      <w:rPr>
        <w:noProof/>
      </w:rPr>
      <w:drawing>
        <wp:inline distT="0" distB="0" distL="0" distR="0" wp14:anchorId="5287C931" wp14:editId="35BB9E10">
          <wp:extent cx="266700" cy="266700"/>
          <wp:effectExtent l="0" t="0" r="0" b="0"/>
          <wp:docPr id="50" name="Imagen 50" descr="otro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o 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@Coopsdetrabajo</w:t>
    </w:r>
  </w:p>
  <w:p w14:paraId="19477CE9" w14:textId="0952452B" w:rsidR="00FB2217" w:rsidRDefault="00FB2217" w:rsidP="00FB2217">
    <w:pPr>
      <w:pStyle w:val="Piedepgina"/>
      <w:jc w:val="center"/>
    </w:pPr>
  </w:p>
  <w:p w14:paraId="5ED0109D" w14:textId="5F478AE5" w:rsidR="00B60DA0" w:rsidRDefault="00B60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B9C8" w14:textId="77777777" w:rsidR="00D979A5" w:rsidRDefault="00D979A5" w:rsidP="003B6C69">
      <w:pPr>
        <w:spacing w:after="0" w:line="240" w:lineRule="auto"/>
      </w:pPr>
      <w:r>
        <w:separator/>
      </w:r>
    </w:p>
  </w:footnote>
  <w:footnote w:type="continuationSeparator" w:id="0">
    <w:p w14:paraId="437F9255" w14:textId="77777777" w:rsidR="00D979A5" w:rsidRDefault="00D979A5" w:rsidP="003B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0F1F" w14:textId="6AE741CF" w:rsidR="00C86D91" w:rsidRDefault="00C86D91">
    <w:pPr>
      <w:pStyle w:val="Encabezado"/>
    </w:pPr>
    <w:r>
      <w:t xml:space="preserve">      </w:t>
    </w:r>
    <w:r w:rsidR="00852DB6">
      <w:rPr>
        <w:noProof/>
      </w:rPr>
      <w:drawing>
        <wp:inline distT="0" distB="0" distL="0" distR="0" wp14:anchorId="1323FDA6" wp14:editId="14A6EABB">
          <wp:extent cx="1442112" cy="324344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ET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12" cy="32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="00E14BEC">
      <w:rPr>
        <w:noProof/>
      </w:rPr>
      <w:drawing>
        <wp:inline distT="0" distB="0" distL="0" distR="0" wp14:anchorId="2C74D4E4" wp14:editId="1917FB1C">
          <wp:extent cx="769620" cy="505086"/>
          <wp:effectExtent l="0" t="0" r="0" b="9525"/>
          <wp:docPr id="47" name="Imagen 47" descr="Imagen que contiene rule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DS RED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312" cy="52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48091133" wp14:editId="1EE5BBEE">
          <wp:extent cx="837679" cy="296995"/>
          <wp:effectExtent l="0" t="0" r="635" b="8255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a2014logo-SIN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734" cy="31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8D27B" w14:textId="77777777" w:rsidR="00C86D91" w:rsidRDefault="00C86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8F9"/>
    <w:multiLevelType w:val="hybridMultilevel"/>
    <w:tmpl w:val="59908444"/>
    <w:lvl w:ilvl="0" w:tplc="CE1E0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4BE"/>
    <w:multiLevelType w:val="hybridMultilevel"/>
    <w:tmpl w:val="4B28C5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26E"/>
    <w:multiLevelType w:val="hybridMultilevel"/>
    <w:tmpl w:val="BE8A65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7C0"/>
    <w:multiLevelType w:val="hybridMultilevel"/>
    <w:tmpl w:val="704208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2D1063"/>
    <w:multiLevelType w:val="hybridMultilevel"/>
    <w:tmpl w:val="BDACEA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FC5"/>
    <w:multiLevelType w:val="hybridMultilevel"/>
    <w:tmpl w:val="77928DB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3B4691"/>
    <w:multiLevelType w:val="hybridMultilevel"/>
    <w:tmpl w:val="C5D03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6BFF"/>
    <w:multiLevelType w:val="hybridMultilevel"/>
    <w:tmpl w:val="BB4A8BE8"/>
    <w:lvl w:ilvl="0" w:tplc="EFC02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9D498C"/>
    <w:multiLevelType w:val="hybridMultilevel"/>
    <w:tmpl w:val="9BF69534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34537F"/>
    <w:multiLevelType w:val="hybridMultilevel"/>
    <w:tmpl w:val="6AEAFA0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A776B1"/>
    <w:multiLevelType w:val="hybridMultilevel"/>
    <w:tmpl w:val="1C9A8F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038A7"/>
    <w:multiLevelType w:val="hybridMultilevel"/>
    <w:tmpl w:val="22127864"/>
    <w:lvl w:ilvl="0" w:tplc="2BC6D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50F96"/>
    <w:multiLevelType w:val="hybridMultilevel"/>
    <w:tmpl w:val="2DCEC5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972822"/>
    <w:multiLevelType w:val="hybridMultilevel"/>
    <w:tmpl w:val="D286FB2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63"/>
    <w:rsid w:val="00034F04"/>
    <w:rsid w:val="00037BF2"/>
    <w:rsid w:val="0007574B"/>
    <w:rsid w:val="000A4055"/>
    <w:rsid w:val="000B2990"/>
    <w:rsid w:val="0028570B"/>
    <w:rsid w:val="003B6C69"/>
    <w:rsid w:val="003E6C96"/>
    <w:rsid w:val="003E72DB"/>
    <w:rsid w:val="0064651F"/>
    <w:rsid w:val="0069514B"/>
    <w:rsid w:val="006A13B6"/>
    <w:rsid w:val="007252A2"/>
    <w:rsid w:val="007C07BE"/>
    <w:rsid w:val="00852DB6"/>
    <w:rsid w:val="00865C80"/>
    <w:rsid w:val="00932373"/>
    <w:rsid w:val="00974979"/>
    <w:rsid w:val="00B60DA0"/>
    <w:rsid w:val="00C45F66"/>
    <w:rsid w:val="00C47F33"/>
    <w:rsid w:val="00C86D91"/>
    <w:rsid w:val="00D969F0"/>
    <w:rsid w:val="00D979A5"/>
    <w:rsid w:val="00E1236A"/>
    <w:rsid w:val="00E14BEC"/>
    <w:rsid w:val="00E2256B"/>
    <w:rsid w:val="00E35063"/>
    <w:rsid w:val="00E52D71"/>
    <w:rsid w:val="00EE2353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334DC"/>
  <w15:chartTrackingRefBased/>
  <w15:docId w15:val="{A15F1148-663C-426B-9E8A-FCE8D22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B6C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C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6C6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B6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0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DA0"/>
  </w:style>
  <w:style w:type="paragraph" w:styleId="Piedepgina">
    <w:name w:val="footer"/>
    <w:basedOn w:val="Normal"/>
    <w:link w:val="PiedepginaCar"/>
    <w:uiPriority w:val="99"/>
    <w:unhideWhenUsed/>
    <w:rsid w:val="00B60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DA0"/>
  </w:style>
  <w:style w:type="character" w:styleId="Hipervnculo">
    <w:name w:val="Hyperlink"/>
    <w:rsid w:val="00FB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ceta.coop" TargetMode="External"/><Relationship Id="rId2" Type="http://schemas.openxmlformats.org/officeDocument/2006/relationships/hyperlink" Target="mailto:confederacion@coceta.coop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306D-82AF-41EE-A0D6-CDBCF57F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COCETA</dc:creator>
  <cp:keywords/>
  <dc:description/>
  <cp:lastModifiedBy>Dir Coceta</cp:lastModifiedBy>
  <cp:revision>3</cp:revision>
  <dcterms:created xsi:type="dcterms:W3CDTF">2020-04-12T15:18:00Z</dcterms:created>
  <dcterms:modified xsi:type="dcterms:W3CDTF">2020-04-12T15:18:00Z</dcterms:modified>
</cp:coreProperties>
</file>